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8B" w:rsidRPr="009A38BC" w:rsidRDefault="00A47D92" w:rsidP="00375217">
      <w:pPr>
        <w:jc w:val="both"/>
        <w:rPr>
          <w:lang w:val="pl-PL"/>
        </w:rPr>
      </w:pPr>
      <w:r w:rsidRPr="009A38BC">
        <w:rPr>
          <w:lang w:val="pl-PL"/>
        </w:rPr>
        <w:t>Warszawa, dnia 19 maja 2017 roku</w:t>
      </w:r>
    </w:p>
    <w:p w:rsidR="00A47D92" w:rsidRPr="009A38BC" w:rsidRDefault="00A47D92" w:rsidP="00375217">
      <w:pPr>
        <w:jc w:val="both"/>
        <w:rPr>
          <w:lang w:val="pl-PL"/>
        </w:rPr>
      </w:pPr>
    </w:p>
    <w:p w:rsidR="00A47D92" w:rsidRPr="009A38BC" w:rsidRDefault="00A47D92" w:rsidP="00375217">
      <w:pPr>
        <w:jc w:val="both"/>
        <w:rPr>
          <w:lang w:val="pl-PL"/>
        </w:rPr>
      </w:pPr>
    </w:p>
    <w:p w:rsidR="00A47D92" w:rsidRPr="00375217" w:rsidRDefault="00A47D92" w:rsidP="00375217">
      <w:pPr>
        <w:jc w:val="both"/>
        <w:rPr>
          <w:b/>
          <w:lang w:val="pl-PL"/>
        </w:rPr>
      </w:pPr>
      <w:r w:rsidRPr="00375217">
        <w:rPr>
          <w:b/>
          <w:lang w:val="pl-PL"/>
        </w:rPr>
        <w:t xml:space="preserve">Szanowny Pan </w:t>
      </w:r>
    </w:p>
    <w:p w:rsidR="00A47D92" w:rsidRPr="00375217" w:rsidRDefault="00A47D92" w:rsidP="00375217">
      <w:pPr>
        <w:jc w:val="both"/>
        <w:rPr>
          <w:b/>
          <w:lang w:val="pl-PL"/>
        </w:rPr>
      </w:pPr>
      <w:r w:rsidRPr="00375217">
        <w:rPr>
          <w:b/>
          <w:lang w:val="pl-PL"/>
        </w:rPr>
        <w:t>Paweł Lewandowski</w:t>
      </w:r>
    </w:p>
    <w:p w:rsidR="00A47D92" w:rsidRPr="00375217" w:rsidRDefault="00A47D92" w:rsidP="00375217">
      <w:pPr>
        <w:jc w:val="both"/>
        <w:rPr>
          <w:b/>
          <w:lang w:val="pl-PL"/>
        </w:rPr>
      </w:pPr>
      <w:r w:rsidRPr="00375217">
        <w:rPr>
          <w:b/>
          <w:lang w:val="pl-PL"/>
        </w:rPr>
        <w:t>Podsekretarz Stanu</w:t>
      </w:r>
    </w:p>
    <w:p w:rsidR="00A47D92" w:rsidRPr="00375217" w:rsidRDefault="00A47D92" w:rsidP="00375217">
      <w:pPr>
        <w:jc w:val="both"/>
        <w:rPr>
          <w:b/>
          <w:lang w:val="pl-PL"/>
        </w:rPr>
      </w:pPr>
      <w:r w:rsidRPr="00375217">
        <w:rPr>
          <w:b/>
          <w:lang w:val="pl-PL"/>
        </w:rPr>
        <w:t>Ministerstwo Kultury i Dziedzictwa Narodowego</w:t>
      </w:r>
    </w:p>
    <w:p w:rsidR="00A47D92" w:rsidRDefault="00A47D92" w:rsidP="00375217">
      <w:pPr>
        <w:jc w:val="both"/>
        <w:rPr>
          <w:lang w:val="pl-PL"/>
        </w:rPr>
      </w:pPr>
    </w:p>
    <w:p w:rsidR="00A47D92" w:rsidRDefault="00A47D92" w:rsidP="00375217">
      <w:pPr>
        <w:jc w:val="both"/>
        <w:rPr>
          <w:lang w:val="pl-PL"/>
        </w:rPr>
      </w:pPr>
    </w:p>
    <w:p w:rsidR="00A47D92" w:rsidRDefault="00A47D92" w:rsidP="009A38BC">
      <w:pPr>
        <w:spacing w:line="360" w:lineRule="auto"/>
        <w:ind w:firstLine="720"/>
        <w:jc w:val="both"/>
        <w:rPr>
          <w:lang w:val="pl-PL"/>
        </w:rPr>
      </w:pPr>
      <w:r>
        <w:rPr>
          <w:lang w:val="pl-PL"/>
        </w:rPr>
        <w:t xml:space="preserve">W nawiązaniu do trwających konsultacji społecznych projektu ustawy o zbiorowym zarządzaniu prawami autorskimi i prawami pokrewnymi, poniżej przedstawiam opinię i propozycje zmian </w:t>
      </w:r>
      <w:r w:rsidR="00FA24B9">
        <w:rPr>
          <w:lang w:val="pl-PL"/>
        </w:rPr>
        <w:br/>
      </w:r>
      <w:r>
        <w:rPr>
          <w:lang w:val="pl-PL"/>
        </w:rPr>
        <w:t xml:space="preserve">w przedmiotowym projekcie ze strony Związku Importerów i Producentów </w:t>
      </w:r>
      <w:r w:rsidR="00375217">
        <w:rPr>
          <w:lang w:val="pl-PL"/>
        </w:rPr>
        <w:t>Sprzętu</w:t>
      </w:r>
      <w:r>
        <w:rPr>
          <w:lang w:val="pl-PL"/>
        </w:rPr>
        <w:t xml:space="preserve"> Elektrycznego </w:t>
      </w:r>
      <w:r w:rsidR="00FA24B9">
        <w:rPr>
          <w:lang w:val="pl-PL"/>
        </w:rPr>
        <w:br/>
      </w:r>
      <w:r>
        <w:rPr>
          <w:lang w:val="pl-PL"/>
        </w:rPr>
        <w:t xml:space="preserve">i Elektronicznego </w:t>
      </w:r>
      <w:r w:rsidR="00375217">
        <w:rPr>
          <w:lang w:val="pl-PL"/>
        </w:rPr>
        <w:t>Branży</w:t>
      </w:r>
      <w:r>
        <w:rPr>
          <w:lang w:val="pl-PL"/>
        </w:rPr>
        <w:t xml:space="preserve"> RTV i IT – ZIPSEE Cyfrowa Polska.</w:t>
      </w:r>
    </w:p>
    <w:p w:rsidR="00A47D92" w:rsidRDefault="00A47D92" w:rsidP="00FA24B9">
      <w:pPr>
        <w:spacing w:line="360" w:lineRule="auto"/>
        <w:jc w:val="both"/>
        <w:rPr>
          <w:lang w:val="pl-PL"/>
        </w:rPr>
      </w:pPr>
      <w:r>
        <w:rPr>
          <w:lang w:val="pl-PL"/>
        </w:rPr>
        <w:t>Przede wszystkim cieszę się, iż p</w:t>
      </w:r>
      <w:r w:rsidR="009A38BC">
        <w:rPr>
          <w:lang w:val="pl-PL"/>
        </w:rPr>
        <w:t>o</w:t>
      </w:r>
      <w:r>
        <w:rPr>
          <w:lang w:val="pl-PL"/>
        </w:rPr>
        <w:t xml:space="preserve"> wielu miesiącach prac mogliśmy </w:t>
      </w:r>
      <w:r w:rsidR="00375217">
        <w:rPr>
          <w:lang w:val="pl-PL"/>
        </w:rPr>
        <w:t>poznać</w:t>
      </w:r>
      <w:r>
        <w:rPr>
          <w:lang w:val="pl-PL"/>
        </w:rPr>
        <w:t xml:space="preserve"> projektu Ustawy, który implementuje do polskiego prawa dyrektywę </w:t>
      </w:r>
      <w:r w:rsidR="00375217">
        <w:rPr>
          <w:lang w:val="pl-PL"/>
        </w:rPr>
        <w:t>Parlamentu</w:t>
      </w:r>
      <w:r>
        <w:rPr>
          <w:lang w:val="pl-PL"/>
        </w:rPr>
        <w:t xml:space="preserve"> Europejskiego i Rady 2014/26/UE z dnia 26 lutego 2014 roku w sprawie zbiorowego zarządzania prawami autorskimi i </w:t>
      </w:r>
      <w:r w:rsidR="00375217">
        <w:rPr>
          <w:lang w:val="pl-PL"/>
        </w:rPr>
        <w:t>prawami</w:t>
      </w:r>
      <w:r>
        <w:rPr>
          <w:lang w:val="pl-PL"/>
        </w:rPr>
        <w:t xml:space="preserve"> pokrewnymi oraz udzielania licencji </w:t>
      </w:r>
      <w:proofErr w:type="spellStart"/>
      <w:r>
        <w:rPr>
          <w:lang w:val="pl-PL"/>
        </w:rPr>
        <w:t>wieloterytorialnych</w:t>
      </w:r>
      <w:proofErr w:type="spellEnd"/>
      <w:r>
        <w:rPr>
          <w:lang w:val="pl-PL"/>
        </w:rPr>
        <w:t xml:space="preserve"> dotyczących praw do utworów muzycznych do </w:t>
      </w:r>
      <w:r w:rsidR="00375217">
        <w:rPr>
          <w:lang w:val="pl-PL"/>
        </w:rPr>
        <w:t>korzystania</w:t>
      </w:r>
      <w:r>
        <w:rPr>
          <w:lang w:val="pl-PL"/>
        </w:rPr>
        <w:t xml:space="preserve"> online na rynku wewnętrznym. Niewątpliwie wiele z zaproponowanych przez Ministerstwo zapisów nie tylko implementuje przedmiotowa regulacje europejską ale stanowi bardzo ważna odpowiedź na </w:t>
      </w:r>
      <w:r w:rsidR="00375217">
        <w:rPr>
          <w:lang w:val="pl-PL"/>
        </w:rPr>
        <w:t>gorącą</w:t>
      </w:r>
      <w:r>
        <w:rPr>
          <w:lang w:val="pl-PL"/>
        </w:rPr>
        <w:t xml:space="preserve"> publiczna debatę na temat transparentności działania </w:t>
      </w:r>
      <w:r w:rsidR="00375217">
        <w:rPr>
          <w:lang w:val="pl-PL"/>
        </w:rPr>
        <w:t>organizacji</w:t>
      </w:r>
      <w:r>
        <w:rPr>
          <w:lang w:val="pl-PL"/>
        </w:rPr>
        <w:t xml:space="preserve"> zarządzania zbiorowego w Polsce </w:t>
      </w:r>
      <w:r w:rsidR="00FA24B9">
        <w:rPr>
          <w:lang w:val="pl-PL"/>
        </w:rPr>
        <w:br/>
      </w:r>
      <w:r>
        <w:rPr>
          <w:lang w:val="pl-PL"/>
        </w:rPr>
        <w:t xml:space="preserve">i sposobu gospodarowania przez nie gromadzonymi środkami. Sugerowane przez nas w poniższym stanowisku propozycje proszę traktować </w:t>
      </w:r>
      <w:r w:rsidR="00375217">
        <w:rPr>
          <w:lang w:val="pl-PL"/>
        </w:rPr>
        <w:t>właśnie</w:t>
      </w:r>
      <w:r>
        <w:rPr>
          <w:lang w:val="pl-PL"/>
        </w:rPr>
        <w:t xml:space="preserve"> jako uzupełnienie spojrzenia na system od strony użytkowników, podmiotów zobowiązanych do ponoszenia różnego rodzaju opłat z tytułu </w:t>
      </w:r>
      <w:r w:rsidR="00375217">
        <w:rPr>
          <w:lang w:val="pl-PL"/>
        </w:rPr>
        <w:t>korzystania</w:t>
      </w:r>
      <w:r>
        <w:rPr>
          <w:lang w:val="pl-PL"/>
        </w:rPr>
        <w:t xml:space="preserve"> </w:t>
      </w:r>
      <w:r w:rsidR="00FA24B9">
        <w:rPr>
          <w:lang w:val="pl-PL"/>
        </w:rPr>
        <w:br/>
      </w:r>
      <w:r>
        <w:rPr>
          <w:lang w:val="pl-PL"/>
        </w:rPr>
        <w:t xml:space="preserve">z praw autorskich i praw pokrewnych, którym w szczególności zależy na sprawnych i efektywnym przekazywaniu przedmiotowych opłat w ręce </w:t>
      </w:r>
      <w:r w:rsidR="00375217">
        <w:rPr>
          <w:lang w:val="pl-PL"/>
        </w:rPr>
        <w:t>uprawnionych</w:t>
      </w:r>
      <w:r>
        <w:rPr>
          <w:lang w:val="pl-PL"/>
        </w:rPr>
        <w:t>.</w:t>
      </w:r>
    </w:p>
    <w:p w:rsidR="00A47D92" w:rsidRDefault="00A47D92" w:rsidP="00FA24B9">
      <w:pPr>
        <w:spacing w:line="360" w:lineRule="auto"/>
        <w:jc w:val="both"/>
        <w:rPr>
          <w:lang w:val="pl-PL"/>
        </w:rPr>
      </w:pPr>
    </w:p>
    <w:p w:rsidR="00A47D92" w:rsidRDefault="00A47D92" w:rsidP="00FA24B9">
      <w:pPr>
        <w:pStyle w:val="Akapitzlist"/>
        <w:numPr>
          <w:ilvl w:val="0"/>
          <w:numId w:val="1"/>
        </w:numPr>
        <w:spacing w:line="360" w:lineRule="auto"/>
        <w:jc w:val="both"/>
        <w:rPr>
          <w:lang w:val="pl-PL"/>
        </w:rPr>
      </w:pPr>
      <w:bookmarkStart w:id="0" w:name="_GoBack"/>
      <w:r>
        <w:rPr>
          <w:lang w:val="pl-PL"/>
        </w:rPr>
        <w:t xml:space="preserve">W rozdziale 2 przedmiotowego projektu Ustawy proponujemy rozważenie możliwości wprowadzenia zapisu udzielaniu zezwolenia </w:t>
      </w:r>
      <w:r w:rsidR="006B09A8">
        <w:rPr>
          <w:lang w:val="pl-PL"/>
        </w:rPr>
        <w:t xml:space="preserve">na zbiorowe zarządzania na określony okres, aby Minister właściwy do spraw kultury miał regularna </w:t>
      </w:r>
      <w:r w:rsidR="00375217">
        <w:rPr>
          <w:lang w:val="pl-PL"/>
        </w:rPr>
        <w:t>możliwość</w:t>
      </w:r>
      <w:r w:rsidR="006B09A8">
        <w:rPr>
          <w:lang w:val="pl-PL"/>
        </w:rPr>
        <w:t xml:space="preserve"> weryfikacji uprawnionych organizacji odnośnie </w:t>
      </w:r>
      <w:r w:rsidR="00375217">
        <w:rPr>
          <w:lang w:val="pl-PL"/>
        </w:rPr>
        <w:t>prawidłowości</w:t>
      </w:r>
      <w:r w:rsidR="006B09A8">
        <w:rPr>
          <w:lang w:val="pl-PL"/>
        </w:rPr>
        <w:t xml:space="preserve"> wypełniania swojego zezwolenia. Zapis wprowadzający </w:t>
      </w:r>
      <w:r w:rsidR="006B09A8">
        <w:rPr>
          <w:lang w:val="pl-PL"/>
        </w:rPr>
        <w:lastRenderedPageBreak/>
        <w:t xml:space="preserve">obowiązkową </w:t>
      </w:r>
      <w:r w:rsidR="00375217">
        <w:rPr>
          <w:lang w:val="pl-PL"/>
        </w:rPr>
        <w:t>weryfikacje</w:t>
      </w:r>
      <w:r w:rsidR="006B09A8">
        <w:rPr>
          <w:lang w:val="pl-PL"/>
        </w:rPr>
        <w:t xml:space="preserve"> udzielonych zezwoleń, np. co 5 lat, w naszej opinii zmotywuje OZZ do zachowania należytej staranności w wykonywaniu swoich obowiązków.</w:t>
      </w:r>
      <w:r w:rsidR="00375217">
        <w:rPr>
          <w:lang w:val="pl-PL"/>
        </w:rPr>
        <w:t xml:space="preserve"> Jednocześnie bardzo proszę rozważyć możliwość wprowadzenia obowiązku funkcjonowania organizacji zbiorowego zarządzania tylko w formi</w:t>
      </w:r>
      <w:r w:rsidR="00FA24B9">
        <w:rPr>
          <w:lang w:val="pl-PL"/>
        </w:rPr>
        <w:t>e</w:t>
      </w:r>
      <w:r w:rsidR="00375217">
        <w:rPr>
          <w:lang w:val="pl-PL"/>
        </w:rPr>
        <w:t xml:space="preserve"> organizacji pożytku publicznego</w:t>
      </w:r>
      <w:r w:rsidR="00FA24B9">
        <w:rPr>
          <w:lang w:val="pl-PL"/>
        </w:rPr>
        <w:t>. To nie tylko pozwoli na zwiększenie przejrzystości działań ale wprowadzi cały szereg regulacji przyczyniających się do poprawy efektywności zarządzania pobieranymi środkami, choćby poprzez ograniczenie wysokości wynagrodzeń pobieranych przez osoby zarządzające daną organizacją.</w:t>
      </w:r>
    </w:p>
    <w:p w:rsidR="006B09A8" w:rsidRDefault="006B09A8" w:rsidP="00FA24B9">
      <w:pPr>
        <w:pStyle w:val="Akapitzlist"/>
        <w:numPr>
          <w:ilvl w:val="0"/>
          <w:numId w:val="1"/>
        </w:numPr>
        <w:spacing w:line="360" w:lineRule="auto"/>
        <w:jc w:val="both"/>
        <w:rPr>
          <w:lang w:val="pl-PL"/>
        </w:rPr>
      </w:pPr>
      <w:r>
        <w:rPr>
          <w:lang w:val="pl-PL"/>
        </w:rPr>
        <w:t>W rozdziale 4 przedmiotowego projektu Ustawy, proponujemy doprecyzować lub uzupełnić projektowana regulację o:</w:t>
      </w:r>
    </w:p>
    <w:p w:rsidR="006B09A8" w:rsidRDefault="006B09A8" w:rsidP="00FA24B9">
      <w:pPr>
        <w:pStyle w:val="Akapitzlist"/>
        <w:numPr>
          <w:ilvl w:val="1"/>
          <w:numId w:val="1"/>
        </w:numPr>
        <w:spacing w:line="360" w:lineRule="auto"/>
        <w:jc w:val="both"/>
        <w:rPr>
          <w:lang w:val="pl-PL"/>
        </w:rPr>
      </w:pPr>
      <w:r>
        <w:rPr>
          <w:lang w:val="pl-PL"/>
        </w:rPr>
        <w:t xml:space="preserve">Brakuje w projekcie ustawy szczegółowych wytycznych odnośnie </w:t>
      </w:r>
      <w:r w:rsidR="00375217">
        <w:rPr>
          <w:lang w:val="pl-PL"/>
        </w:rPr>
        <w:t>regulaminów repartycji, które są</w:t>
      </w:r>
      <w:r>
        <w:rPr>
          <w:lang w:val="pl-PL"/>
        </w:rPr>
        <w:t xml:space="preserve"> podstawowym wyznacznikiem zasada wypłaty środków do uprawnionych. Należy zapewnić </w:t>
      </w:r>
      <w:r w:rsidR="00375217">
        <w:rPr>
          <w:lang w:val="pl-PL"/>
        </w:rPr>
        <w:t>odpowiednimi</w:t>
      </w:r>
      <w:r>
        <w:rPr>
          <w:lang w:val="pl-PL"/>
        </w:rPr>
        <w:t xml:space="preserve"> regulacjami aby zasady repartycji zostały </w:t>
      </w:r>
      <w:r w:rsidR="00375217">
        <w:rPr>
          <w:lang w:val="pl-PL"/>
        </w:rPr>
        <w:t>oparte</w:t>
      </w:r>
      <w:r>
        <w:rPr>
          <w:lang w:val="pl-PL"/>
        </w:rPr>
        <w:t xml:space="preserve"> wyłącznie </w:t>
      </w:r>
      <w:r w:rsidR="00FA24B9">
        <w:rPr>
          <w:lang w:val="pl-PL"/>
        </w:rPr>
        <w:br/>
      </w:r>
      <w:r>
        <w:rPr>
          <w:lang w:val="pl-PL"/>
        </w:rPr>
        <w:t xml:space="preserve">o kryteria ekonomiczne przez co uda się wyeliminować element </w:t>
      </w:r>
      <w:r w:rsidR="00375217">
        <w:rPr>
          <w:lang w:val="pl-PL"/>
        </w:rPr>
        <w:t>uznaniowości</w:t>
      </w:r>
      <w:r>
        <w:rPr>
          <w:lang w:val="pl-PL"/>
        </w:rPr>
        <w:t>, który w dotychczasowej praktyce był nader często nadużywany.</w:t>
      </w:r>
      <w:r w:rsidR="00375217">
        <w:rPr>
          <w:lang w:val="pl-PL"/>
        </w:rPr>
        <w:t xml:space="preserve"> Jednocześnie uważam, iż uprawnieni powinni uzyskać uprawnienie do zaskarżania regulaminów repartycji do właściwego organu w przypadku naruszania przez zapisy regulaminu jego praw.</w:t>
      </w:r>
    </w:p>
    <w:p w:rsidR="006B09A8" w:rsidRDefault="006B09A8" w:rsidP="00FA24B9">
      <w:pPr>
        <w:pStyle w:val="Akapitzlist"/>
        <w:numPr>
          <w:ilvl w:val="1"/>
          <w:numId w:val="1"/>
        </w:numPr>
        <w:spacing w:line="360" w:lineRule="auto"/>
        <w:jc w:val="both"/>
        <w:rPr>
          <w:lang w:val="pl-PL"/>
        </w:rPr>
      </w:pPr>
      <w:r>
        <w:rPr>
          <w:lang w:val="pl-PL"/>
        </w:rPr>
        <w:t>Uważam, iż ustawa powinna bardzo precyzyjnie określić maksymalny poziom potrąceń na pokrycie kosztów zbiorowego zarządzania prawami autorskimi lub prawami pokrewnymi. Uważam, iż dotychczasowa praktyka pokazała, iż pozostawienie w tej kwestii swobody powoduje oburzające z punktu widzenia użytkowników ale tez uprawnionych zawyżanie przedmiotowych kosztów.</w:t>
      </w:r>
    </w:p>
    <w:p w:rsidR="006B09A8" w:rsidRDefault="00611128" w:rsidP="00FA24B9">
      <w:pPr>
        <w:pStyle w:val="Akapitzlist"/>
        <w:numPr>
          <w:ilvl w:val="1"/>
          <w:numId w:val="1"/>
        </w:numPr>
        <w:spacing w:line="360" w:lineRule="auto"/>
        <w:jc w:val="both"/>
        <w:rPr>
          <w:lang w:val="pl-PL"/>
        </w:rPr>
      </w:pPr>
      <w:r>
        <w:rPr>
          <w:lang w:val="pl-PL"/>
        </w:rPr>
        <w:t>Proponujemy aby</w:t>
      </w:r>
      <w:r w:rsidR="006B09A8">
        <w:rPr>
          <w:lang w:val="pl-PL"/>
        </w:rPr>
        <w:t xml:space="preserve"> działalność o charakterze socjalnym, kulturalnym lub edukacyjnym</w:t>
      </w:r>
      <w:r>
        <w:rPr>
          <w:lang w:val="pl-PL"/>
        </w:rPr>
        <w:t xml:space="preserve">, na która OZZ ma prawo do </w:t>
      </w:r>
      <w:r w:rsidR="00375217">
        <w:rPr>
          <w:lang w:val="pl-PL"/>
        </w:rPr>
        <w:t>potrąceń</w:t>
      </w:r>
      <w:r>
        <w:rPr>
          <w:lang w:val="pl-PL"/>
        </w:rPr>
        <w:t xml:space="preserve"> ze swoich przychodów była dostępna dla wszystkich uprawnionych a nie tylko dla Członków danej organizacji.</w:t>
      </w:r>
    </w:p>
    <w:p w:rsidR="00611128" w:rsidRDefault="00611128" w:rsidP="00FA24B9">
      <w:pPr>
        <w:pStyle w:val="Akapitzlist"/>
        <w:numPr>
          <w:ilvl w:val="1"/>
          <w:numId w:val="1"/>
        </w:numPr>
        <w:spacing w:line="360" w:lineRule="auto"/>
        <w:jc w:val="both"/>
        <w:rPr>
          <w:lang w:val="pl-PL"/>
        </w:rPr>
      </w:pPr>
      <w:r>
        <w:rPr>
          <w:lang w:val="pl-PL"/>
        </w:rPr>
        <w:t xml:space="preserve">W art. 37 projektu ustawy proponujemy skrócić wskazany tam maksymalny czas wypłaty pobranych środków na rzecz </w:t>
      </w:r>
      <w:r w:rsidR="00375217">
        <w:rPr>
          <w:lang w:val="pl-PL"/>
        </w:rPr>
        <w:t>uprawnionych</w:t>
      </w:r>
      <w:r>
        <w:rPr>
          <w:lang w:val="pl-PL"/>
        </w:rPr>
        <w:t xml:space="preserve"> do 6 miesięcy od zakończenia roku obrotowego, w którym zostały pobrane. W dobie cyfrowej technologii nie widzimy </w:t>
      </w:r>
      <w:r w:rsidR="00375217">
        <w:rPr>
          <w:lang w:val="pl-PL"/>
        </w:rPr>
        <w:t>uzasadnienia</w:t>
      </w:r>
      <w:r>
        <w:rPr>
          <w:lang w:val="pl-PL"/>
        </w:rPr>
        <w:t xml:space="preserve"> dla przetrzymywania pobranych środków aż tyle miesięcy. Jestem przekonany, iż </w:t>
      </w:r>
      <w:r w:rsidR="00375217">
        <w:rPr>
          <w:lang w:val="pl-PL"/>
        </w:rPr>
        <w:t>są</w:t>
      </w:r>
      <w:r>
        <w:rPr>
          <w:lang w:val="pl-PL"/>
        </w:rPr>
        <w:t xml:space="preserve"> dostępne narzędzia, które umożliwiają sprawny podział i wypłatę środków.</w:t>
      </w:r>
      <w:r w:rsidR="00375217">
        <w:rPr>
          <w:lang w:val="pl-PL"/>
        </w:rPr>
        <w:t xml:space="preserve"> Jednocześnie proponujemy aby w ustawie znalazł się zapis umożliwiający uprawnionemu natychmiastowe otrzymanie wynagrodzenia w chwili, gdy zostało ono </w:t>
      </w:r>
      <w:r w:rsidR="00375217">
        <w:rPr>
          <w:lang w:val="pl-PL"/>
        </w:rPr>
        <w:lastRenderedPageBreak/>
        <w:t xml:space="preserve">naliczone. Pozwoli to uniknąć sytuacji przetrzymywania środków na kontach OZZ </w:t>
      </w:r>
      <w:r w:rsidR="00FA24B9">
        <w:rPr>
          <w:lang w:val="pl-PL"/>
        </w:rPr>
        <w:br/>
      </w:r>
      <w:r w:rsidR="00375217">
        <w:rPr>
          <w:lang w:val="pl-PL"/>
        </w:rPr>
        <w:t>w przypadkach kiedy technicznie nie ma przeciwskazań do ich natychmiastowej wypłaty.</w:t>
      </w:r>
    </w:p>
    <w:p w:rsidR="00611128" w:rsidRDefault="00611128" w:rsidP="00FA24B9">
      <w:pPr>
        <w:pStyle w:val="Akapitzlist"/>
        <w:numPr>
          <w:ilvl w:val="1"/>
          <w:numId w:val="1"/>
        </w:numPr>
        <w:spacing w:line="360" w:lineRule="auto"/>
        <w:jc w:val="both"/>
        <w:rPr>
          <w:lang w:val="pl-PL"/>
        </w:rPr>
      </w:pPr>
      <w:r>
        <w:rPr>
          <w:lang w:val="pl-PL"/>
        </w:rPr>
        <w:t xml:space="preserve">W art. 39 proponujemy, aby zwiększyć motywacje dla organizacji do sprawnego wypłacania pobieranych środków, proponujemy aby środki niewypłacone w terminie 3 lat od zakończenia roku obrotowego , w którym zostały pobrane były przekazywane na zewnętrzny fundusz zarządzany przez Ministra </w:t>
      </w:r>
      <w:r w:rsidR="00375217">
        <w:rPr>
          <w:lang w:val="pl-PL"/>
        </w:rPr>
        <w:t>właściwego</w:t>
      </w:r>
      <w:r>
        <w:rPr>
          <w:lang w:val="pl-PL"/>
        </w:rPr>
        <w:t xml:space="preserve"> do spraw kultury.</w:t>
      </w:r>
    </w:p>
    <w:p w:rsidR="00611128" w:rsidRDefault="00611128" w:rsidP="00FA24B9">
      <w:pPr>
        <w:pStyle w:val="Akapitzlist"/>
        <w:numPr>
          <w:ilvl w:val="0"/>
          <w:numId w:val="1"/>
        </w:numPr>
        <w:spacing w:line="360" w:lineRule="auto"/>
        <w:jc w:val="both"/>
        <w:rPr>
          <w:lang w:val="pl-PL"/>
        </w:rPr>
      </w:pPr>
      <w:r>
        <w:rPr>
          <w:lang w:val="pl-PL"/>
        </w:rPr>
        <w:t xml:space="preserve">W rozdziale 10 za bardzo </w:t>
      </w:r>
      <w:r w:rsidR="00375217">
        <w:rPr>
          <w:lang w:val="pl-PL"/>
        </w:rPr>
        <w:t>ważny</w:t>
      </w:r>
      <w:r>
        <w:rPr>
          <w:lang w:val="pl-PL"/>
        </w:rPr>
        <w:t xml:space="preserve"> uważamy art. 95. Zachęcam Pana </w:t>
      </w:r>
      <w:r w:rsidR="00375217">
        <w:rPr>
          <w:lang w:val="pl-PL"/>
        </w:rPr>
        <w:t>Ministra</w:t>
      </w:r>
      <w:r>
        <w:rPr>
          <w:lang w:val="pl-PL"/>
        </w:rPr>
        <w:t xml:space="preserve"> aby wzmocnić ten zapis i usunąć z niego słowo „może”. Uważam, iż Minister właściwy do spraw kultury powinien obowiązkowo </w:t>
      </w:r>
      <w:r w:rsidR="00375217">
        <w:rPr>
          <w:lang w:val="pl-PL"/>
        </w:rPr>
        <w:t>wydać</w:t>
      </w:r>
      <w:r>
        <w:rPr>
          <w:lang w:val="pl-PL"/>
        </w:rPr>
        <w:t xml:space="preserve"> rekomendacje dla organizacji odnośnie należytego postępowania  w zakresie zbiorowego </w:t>
      </w:r>
      <w:r w:rsidR="00375217">
        <w:rPr>
          <w:lang w:val="pl-PL"/>
        </w:rPr>
        <w:t>zarządzania</w:t>
      </w:r>
      <w:r>
        <w:rPr>
          <w:lang w:val="pl-PL"/>
        </w:rPr>
        <w:t>.</w:t>
      </w:r>
    </w:p>
    <w:p w:rsidR="00611128" w:rsidRDefault="00611128" w:rsidP="00FA24B9">
      <w:pPr>
        <w:pStyle w:val="Akapitzlist"/>
        <w:numPr>
          <w:ilvl w:val="0"/>
          <w:numId w:val="1"/>
        </w:numPr>
        <w:spacing w:line="360" w:lineRule="auto"/>
        <w:jc w:val="both"/>
        <w:rPr>
          <w:lang w:val="pl-PL"/>
        </w:rPr>
      </w:pPr>
      <w:r>
        <w:rPr>
          <w:lang w:val="pl-PL"/>
        </w:rPr>
        <w:t xml:space="preserve">W rozdziale 10 w art. 97 proponujemy doprecyzować termin po upływie którego właściwy </w:t>
      </w:r>
      <w:r w:rsidR="00375217">
        <w:rPr>
          <w:lang w:val="pl-PL"/>
        </w:rPr>
        <w:t>minister będzie musiał</w:t>
      </w:r>
      <w:r>
        <w:rPr>
          <w:lang w:val="pl-PL"/>
        </w:rPr>
        <w:t xml:space="preserve"> nakazać organizacji opracowanie i wykonanie w oznaczonym terminie planu podziału i wypłaty uprawnionym zebranych środków.</w:t>
      </w:r>
    </w:p>
    <w:p w:rsidR="00375217" w:rsidRDefault="00375217" w:rsidP="00FA24B9">
      <w:pPr>
        <w:pStyle w:val="Akapitzlist"/>
        <w:numPr>
          <w:ilvl w:val="0"/>
          <w:numId w:val="1"/>
        </w:numPr>
        <w:spacing w:line="360" w:lineRule="auto"/>
        <w:jc w:val="both"/>
        <w:rPr>
          <w:lang w:val="pl-PL"/>
        </w:rPr>
      </w:pPr>
      <w:r>
        <w:rPr>
          <w:lang w:val="pl-PL"/>
        </w:rPr>
        <w:t>W rozdziale 13 w odniesieniu do art. 113 oraz 114 brakuje nam sprecyzowania konsekwencji niewykonania przez organizacje wskazanych w tych artykułach obowiązków dostosowania organizacji do nowych regulacji. Proponujemy aby w przypadku niedopełnienia wskazanych w tych artykułach obowiązków skutkowało wygaśnięciem zezwolenia z mocy prawa .</w:t>
      </w:r>
    </w:p>
    <w:p w:rsidR="00375217" w:rsidRDefault="00375217" w:rsidP="00375217">
      <w:pPr>
        <w:rPr>
          <w:lang w:val="pl-PL"/>
        </w:rPr>
      </w:pPr>
    </w:p>
    <w:p w:rsidR="00FA24B9" w:rsidRPr="00FA24B9" w:rsidRDefault="00FA24B9" w:rsidP="00FA24B9">
      <w:pPr>
        <w:spacing w:line="360" w:lineRule="auto"/>
        <w:jc w:val="both"/>
        <w:rPr>
          <w:lang w:val="pl-PL"/>
        </w:rPr>
      </w:pPr>
      <w:r>
        <w:rPr>
          <w:lang w:val="pl-PL"/>
        </w:rPr>
        <w:t xml:space="preserve">Dodatkowo bardzo proszę o rozważenie możliwości objęcia organizacji zbiorowego zarządzania zakresem obowiązywania ustawy o dostępie do informacji publicznej. Projektowana ustawa według naszej opinii </w:t>
      </w:r>
      <w:r w:rsidRPr="00FA24B9">
        <w:rPr>
          <w:lang w:val="pl-PL"/>
        </w:rPr>
        <w:t>nie daje pełnej jasności odnośnie zakresu uprawnień poszczególnych OZZ, wciąż zatem nie ma pewności co do określenia organizacji właściwej. Ustawa powinna w wyższym stopniu usprawnić proces identyfikacji właściwej OZZ oraz systemu naliczania i redystrybucji opłat.</w:t>
      </w:r>
    </w:p>
    <w:bookmarkEnd w:id="0"/>
    <w:p w:rsidR="00FA24B9" w:rsidRDefault="00FA24B9" w:rsidP="00375217">
      <w:pPr>
        <w:rPr>
          <w:lang w:val="pl-PL"/>
        </w:rPr>
      </w:pPr>
    </w:p>
    <w:p w:rsidR="00FA24B9" w:rsidRDefault="00FA24B9" w:rsidP="00375217">
      <w:pPr>
        <w:rPr>
          <w:lang w:val="pl-PL"/>
        </w:rPr>
      </w:pPr>
    </w:p>
    <w:p w:rsidR="00375217" w:rsidRDefault="00375217" w:rsidP="00375217">
      <w:pPr>
        <w:rPr>
          <w:lang w:val="pl-PL"/>
        </w:rPr>
      </w:pPr>
    </w:p>
    <w:p w:rsidR="00FA24B9" w:rsidRDefault="00375217" w:rsidP="00375217">
      <w:pPr>
        <w:rPr>
          <w:lang w:val="pl-PL"/>
        </w:rPr>
      </w:pPr>
      <w:r>
        <w:rPr>
          <w:lang w:val="pl-PL"/>
        </w:rPr>
        <w:t>Michał Kanownik</w:t>
      </w:r>
    </w:p>
    <w:p w:rsidR="00FA24B9" w:rsidRDefault="00FA24B9" w:rsidP="00375217">
      <w:pPr>
        <w:rPr>
          <w:lang w:val="pl-PL"/>
        </w:rPr>
      </w:pPr>
    </w:p>
    <w:p w:rsidR="00375217" w:rsidRPr="00375217" w:rsidRDefault="00375217" w:rsidP="00375217">
      <w:pPr>
        <w:rPr>
          <w:lang w:val="pl-PL"/>
        </w:rPr>
      </w:pPr>
      <w:r>
        <w:rPr>
          <w:lang w:val="pl-PL"/>
        </w:rPr>
        <w:t>Prezes Zarządu ZIPSEE Cyfrowa Polska</w:t>
      </w:r>
    </w:p>
    <w:sectPr w:rsidR="00375217" w:rsidRPr="0037521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710D"/>
    <w:multiLevelType w:val="hybridMultilevel"/>
    <w:tmpl w:val="EA52FD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92"/>
    <w:rsid w:val="00375217"/>
    <w:rsid w:val="00611128"/>
    <w:rsid w:val="006B09A8"/>
    <w:rsid w:val="00856E8B"/>
    <w:rsid w:val="009A38BC"/>
    <w:rsid w:val="00A47D92"/>
    <w:rsid w:val="00FA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47D92"/>
    <w:rPr>
      <w:sz w:val="16"/>
      <w:szCs w:val="16"/>
    </w:rPr>
  </w:style>
  <w:style w:type="paragraph" w:styleId="Tekstkomentarza">
    <w:name w:val="annotation text"/>
    <w:basedOn w:val="Normalny"/>
    <w:link w:val="TekstkomentarzaZnak"/>
    <w:uiPriority w:val="99"/>
    <w:semiHidden/>
    <w:unhideWhenUsed/>
    <w:rsid w:val="00A47D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7D92"/>
    <w:rPr>
      <w:sz w:val="20"/>
      <w:szCs w:val="20"/>
    </w:rPr>
  </w:style>
  <w:style w:type="paragraph" w:styleId="Tematkomentarza">
    <w:name w:val="annotation subject"/>
    <w:basedOn w:val="Tekstkomentarza"/>
    <w:next w:val="Tekstkomentarza"/>
    <w:link w:val="TematkomentarzaZnak"/>
    <w:uiPriority w:val="99"/>
    <w:semiHidden/>
    <w:unhideWhenUsed/>
    <w:rsid w:val="00A47D92"/>
    <w:rPr>
      <w:b/>
      <w:bCs/>
    </w:rPr>
  </w:style>
  <w:style w:type="character" w:customStyle="1" w:styleId="TematkomentarzaZnak">
    <w:name w:val="Temat komentarza Znak"/>
    <w:basedOn w:val="TekstkomentarzaZnak"/>
    <w:link w:val="Tematkomentarza"/>
    <w:uiPriority w:val="99"/>
    <w:semiHidden/>
    <w:rsid w:val="00A47D92"/>
    <w:rPr>
      <w:b/>
      <w:bCs/>
      <w:sz w:val="20"/>
      <w:szCs w:val="20"/>
    </w:rPr>
  </w:style>
  <w:style w:type="paragraph" w:styleId="Tekstdymka">
    <w:name w:val="Balloon Text"/>
    <w:basedOn w:val="Normalny"/>
    <w:link w:val="TekstdymkaZnak"/>
    <w:uiPriority w:val="99"/>
    <w:semiHidden/>
    <w:unhideWhenUsed/>
    <w:rsid w:val="00A47D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7D92"/>
    <w:rPr>
      <w:rFonts w:ascii="Segoe UI" w:hAnsi="Segoe UI" w:cs="Segoe UI"/>
      <w:sz w:val="18"/>
      <w:szCs w:val="18"/>
    </w:rPr>
  </w:style>
  <w:style w:type="paragraph" w:styleId="Akapitzlist">
    <w:name w:val="List Paragraph"/>
    <w:basedOn w:val="Normalny"/>
    <w:uiPriority w:val="34"/>
    <w:qFormat/>
    <w:rsid w:val="00A47D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47D92"/>
    <w:rPr>
      <w:sz w:val="16"/>
      <w:szCs w:val="16"/>
    </w:rPr>
  </w:style>
  <w:style w:type="paragraph" w:styleId="Tekstkomentarza">
    <w:name w:val="annotation text"/>
    <w:basedOn w:val="Normalny"/>
    <w:link w:val="TekstkomentarzaZnak"/>
    <w:uiPriority w:val="99"/>
    <w:semiHidden/>
    <w:unhideWhenUsed/>
    <w:rsid w:val="00A47D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7D92"/>
    <w:rPr>
      <w:sz w:val="20"/>
      <w:szCs w:val="20"/>
    </w:rPr>
  </w:style>
  <w:style w:type="paragraph" w:styleId="Tematkomentarza">
    <w:name w:val="annotation subject"/>
    <w:basedOn w:val="Tekstkomentarza"/>
    <w:next w:val="Tekstkomentarza"/>
    <w:link w:val="TematkomentarzaZnak"/>
    <w:uiPriority w:val="99"/>
    <w:semiHidden/>
    <w:unhideWhenUsed/>
    <w:rsid w:val="00A47D92"/>
    <w:rPr>
      <w:b/>
      <w:bCs/>
    </w:rPr>
  </w:style>
  <w:style w:type="character" w:customStyle="1" w:styleId="TematkomentarzaZnak">
    <w:name w:val="Temat komentarza Znak"/>
    <w:basedOn w:val="TekstkomentarzaZnak"/>
    <w:link w:val="Tematkomentarza"/>
    <w:uiPriority w:val="99"/>
    <w:semiHidden/>
    <w:rsid w:val="00A47D92"/>
    <w:rPr>
      <w:b/>
      <w:bCs/>
      <w:sz w:val="20"/>
      <w:szCs w:val="20"/>
    </w:rPr>
  </w:style>
  <w:style w:type="paragraph" w:styleId="Tekstdymka">
    <w:name w:val="Balloon Text"/>
    <w:basedOn w:val="Normalny"/>
    <w:link w:val="TekstdymkaZnak"/>
    <w:uiPriority w:val="99"/>
    <w:semiHidden/>
    <w:unhideWhenUsed/>
    <w:rsid w:val="00A47D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7D92"/>
    <w:rPr>
      <w:rFonts w:ascii="Segoe UI" w:hAnsi="Segoe UI" w:cs="Segoe UI"/>
      <w:sz w:val="18"/>
      <w:szCs w:val="18"/>
    </w:rPr>
  </w:style>
  <w:style w:type="paragraph" w:styleId="Akapitzlist">
    <w:name w:val="List Paragraph"/>
    <w:basedOn w:val="Normalny"/>
    <w:uiPriority w:val="34"/>
    <w:qFormat/>
    <w:rsid w:val="00A47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Kanownik</dc:creator>
  <cp:lastModifiedBy>Filip</cp:lastModifiedBy>
  <cp:revision>3</cp:revision>
  <dcterms:created xsi:type="dcterms:W3CDTF">2017-05-25T07:44:00Z</dcterms:created>
  <dcterms:modified xsi:type="dcterms:W3CDTF">2017-05-25T07:44:00Z</dcterms:modified>
</cp:coreProperties>
</file>